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902C70" w:rsidRDefault="00902C70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</w:pPr>
      <w:hyperlink r:id="rId5" w:history="1">
        <w:r w:rsidRPr="00902C70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cfc</w:t>
        </w:r>
        <w:r w:rsidRPr="00902C70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902C70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A03C1A" w:rsidRDefault="009E7D3C" w:rsidP="007B660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40"/>
          <w:szCs w:val="40"/>
        </w:rPr>
        <w:t>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902C70">
        <w:rPr>
          <w:rFonts w:ascii="Arial" w:eastAsia="Arial" w:hAnsi="Arial" w:cs="Arial"/>
          <w:b/>
          <w:sz w:val="40"/>
          <w:szCs w:val="40"/>
          <w:lang w:val="en-US"/>
        </w:rPr>
        <w:t>Casta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34031"/>
    <w:rsid w:val="00181191"/>
    <w:rsid w:val="002D483C"/>
    <w:rsid w:val="0047645B"/>
    <w:rsid w:val="00780801"/>
    <w:rsid w:val="007B6604"/>
    <w:rsid w:val="00851D46"/>
    <w:rsid w:val="00902C70"/>
    <w:rsid w:val="009B470B"/>
    <w:rsid w:val="009E7D3C"/>
    <w:rsid w:val="00A03C1A"/>
    <w:rsid w:val="00A357EC"/>
    <w:rsid w:val="00A402CF"/>
    <w:rsid w:val="00D92123"/>
    <w:rsid w:val="00E01906"/>
    <w:rsid w:val="00E8259C"/>
    <w:rsid w:val="00F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0804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fc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Brasilia || Опросный лист на подогреватели для чашек, машины для домашнего бара др. Цена на полностью автоматические машины. Продажа оборудования производства завод-изготовитель БРАСИЛИА, производитель Италия. Дилер ГКНТ. Поставка Россия и Казахстан.</vt:lpstr>
    </vt:vector>
  </TitlesOfParts>
  <Company>Casta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Casta || Опросный лист на грили, линии для готовки, печи WOK др. Цена на индукционные сковороды, якитори. Продажа оборудования производства завод-изготовитель каста, производитель Италия. Дилер ГКНТ. Поставка Россия и Казахстан.</dc:title>
  <dc:subject>Casta || Опросный лист на грили, линии для готовки, печи WOK др. Цена на индукционные сковороды, якитори. Продажа оборудования производства завод-изготовитель каста, производитель Италия. Дилер ГКНТ. Поставка Россия и Казахстан.</dc:subject>
  <dc:creator>https://casta.nt-rt.ru/</dc:creator>
  <cp:lastModifiedBy>core</cp:lastModifiedBy>
  <cp:revision>20</cp:revision>
  <dcterms:created xsi:type="dcterms:W3CDTF">2022-11-04T14:47:00Z</dcterms:created>
  <dcterms:modified xsi:type="dcterms:W3CDTF">2025-03-04T13:59:00Z</dcterms:modified>
</cp:coreProperties>
</file>